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69AC7B51"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41412D">
        <w:rPr>
          <w:b/>
          <w:sz w:val="20"/>
          <w:szCs w:val="20"/>
        </w:rPr>
        <w:t>106 438 440</w:t>
      </w:r>
      <w:r w:rsidR="0033471A">
        <w:rPr>
          <w:b/>
          <w:sz w:val="20"/>
          <w:szCs w:val="20"/>
        </w:rPr>
        <w:t>,00</w:t>
      </w:r>
      <w:r w:rsidR="0019515B" w:rsidRPr="0019515B">
        <w:rPr>
          <w:b/>
          <w:sz w:val="20"/>
          <w:szCs w:val="20"/>
        </w:rPr>
        <w:t xml:space="preserve"> </w:t>
      </w:r>
      <w:r w:rsidR="0041412D" w:rsidRPr="0041412D">
        <w:rPr>
          <w:b/>
          <w:sz w:val="20"/>
          <w:szCs w:val="20"/>
        </w:rPr>
        <w:t>сто шесть миллионов четыреста тридцать восемь тысяч четыреста сорок</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110843">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62C9" w14:textId="77777777" w:rsidR="00110843" w:rsidRDefault="00110843" w:rsidP="00934C17">
      <w:r>
        <w:separator/>
      </w:r>
    </w:p>
  </w:endnote>
  <w:endnote w:type="continuationSeparator" w:id="0">
    <w:p w14:paraId="77758D03" w14:textId="77777777" w:rsidR="00110843" w:rsidRDefault="00110843"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1EFB" w14:textId="77777777" w:rsidR="00110843" w:rsidRDefault="00110843" w:rsidP="00934C17">
      <w:r>
        <w:separator/>
      </w:r>
    </w:p>
  </w:footnote>
  <w:footnote w:type="continuationSeparator" w:id="0">
    <w:p w14:paraId="652FA730" w14:textId="77777777" w:rsidR="00110843" w:rsidRDefault="00110843"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0843"/>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12D"/>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776FF"/>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4135"/>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4372</Words>
  <Characters>24925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29239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7</cp:revision>
  <cp:lastPrinted>2023-09-26T08:26:00Z</cp:lastPrinted>
  <dcterms:created xsi:type="dcterms:W3CDTF">2024-01-17T08:11:00Z</dcterms:created>
  <dcterms:modified xsi:type="dcterms:W3CDTF">2024-01-24T09:01:00Z</dcterms:modified>
</cp:coreProperties>
</file>