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11462476"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551D8C" w:rsidRPr="00551D8C">
        <w:rPr>
          <w:b/>
          <w:sz w:val="20"/>
          <w:szCs w:val="20"/>
        </w:rPr>
        <w:t>88</w:t>
      </w:r>
      <w:r w:rsidR="00551D8C">
        <w:rPr>
          <w:b/>
          <w:sz w:val="20"/>
          <w:szCs w:val="20"/>
        </w:rPr>
        <w:t> </w:t>
      </w:r>
      <w:r w:rsidR="00551D8C" w:rsidRPr="00551D8C">
        <w:rPr>
          <w:b/>
          <w:sz w:val="20"/>
          <w:szCs w:val="20"/>
        </w:rPr>
        <w:t>069 079</w:t>
      </w:r>
      <w:r w:rsidR="0019515B" w:rsidRPr="0019515B">
        <w:rPr>
          <w:b/>
          <w:sz w:val="20"/>
          <w:szCs w:val="20"/>
        </w:rPr>
        <w:t>,00 (</w:t>
      </w:r>
      <w:r w:rsidR="00551D8C" w:rsidRPr="00551D8C">
        <w:rPr>
          <w:b/>
          <w:sz w:val="20"/>
          <w:szCs w:val="20"/>
        </w:rPr>
        <w:t>восемьдесят восемь миллионов шестьдесят девять тысяч семьдесят девять</w:t>
      </w:r>
      <w:r w:rsidR="0019515B" w:rsidRPr="0019515B">
        <w:rPr>
          <w:b/>
          <w:sz w:val="20"/>
          <w:szCs w:val="20"/>
        </w:rPr>
        <w:t>)</w:t>
      </w:r>
      <w:r w:rsidR="00FE3FBA" w:rsidRPr="00FE3FBA">
        <w:rPr>
          <w:b/>
          <w:sz w:val="20"/>
          <w:szCs w:val="20"/>
        </w:rPr>
        <w:t xml:space="preserve"> тенге </w:t>
      </w:r>
      <w:r w:rsidR="00882353">
        <w:rPr>
          <w:b/>
          <w:sz w:val="20"/>
          <w:szCs w:val="20"/>
        </w:rPr>
        <w:t>ноль</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B14800">
        <w:rPr>
          <w:color w:val="000000"/>
          <w:spacing w:val="1"/>
          <w:sz w:val="20"/>
          <w:szCs w:val="20"/>
        </w:rPr>
        <w:t>заказчика</w:t>
      </w:r>
      <w:proofErr w:type="gramEnd"/>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7E5365">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743D" w14:textId="77777777" w:rsidR="007E5365" w:rsidRDefault="007E5365" w:rsidP="00934C17">
      <w:r>
        <w:separator/>
      </w:r>
    </w:p>
  </w:endnote>
  <w:endnote w:type="continuationSeparator" w:id="0">
    <w:p w14:paraId="55A1F190" w14:textId="77777777" w:rsidR="007E5365" w:rsidRDefault="007E5365"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264A" w14:textId="77777777" w:rsidR="007E5365" w:rsidRDefault="007E5365" w:rsidP="00934C17">
      <w:r>
        <w:separator/>
      </w:r>
    </w:p>
  </w:footnote>
  <w:footnote w:type="continuationSeparator" w:id="0">
    <w:p w14:paraId="65D0D538" w14:textId="77777777" w:rsidR="007E5365" w:rsidRDefault="007E5365"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4372</Words>
  <Characters>24926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29240</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2</cp:revision>
  <cp:lastPrinted>2023-09-26T08:26:00Z</cp:lastPrinted>
  <dcterms:created xsi:type="dcterms:W3CDTF">2024-01-17T07:52:00Z</dcterms:created>
  <dcterms:modified xsi:type="dcterms:W3CDTF">2024-01-17T07:52:00Z</dcterms:modified>
</cp:coreProperties>
</file>